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59" w:before="0" w:after="160"/>
        <w:rPr>
          <w:rStyle w:val="Nessuno"/>
          <w:rFonts w:ascii="Times New Roman" w:hAnsi="Times New Roman" w:eastAsia="Calibri" w:cs="Calibri"/>
          <w:b/>
          <w:b/>
          <w:bCs/>
          <w:sz w:val="24"/>
          <w:szCs w:val="24"/>
          <w:u w:val="none" w:color="000000"/>
        </w:rPr>
      </w:pPr>
      <w:r>
        <w:rPr>
          <w:rStyle w:val="Nessuno"/>
          <w:rFonts w:eastAsia="Calibri" w:cs="Calibri" w:ascii="Times New Roman" w:hAnsi="Times New Roman"/>
          <w:b/>
          <w:bCs/>
          <w:sz w:val="24"/>
          <w:szCs w:val="24"/>
          <w:u w:val="none" w:color="000000"/>
        </w:rPr>
        <w:t>PERCORSO TRIENNALE PER LE COMPETENZE TRASVERSALI E PER L'ORIENTAMENTO</w:t>
      </w:r>
    </w:p>
    <w:p>
      <w:pPr>
        <w:pStyle w:val="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59" w:before="0" w:after="160"/>
        <w:rPr>
          <w:rStyle w:val="Nessuno"/>
          <w:rFonts w:ascii="Times New Roman" w:hAnsi="Times New Roman" w:eastAsia="Times New Roman" w:cs="Times New Roman"/>
          <w:b/>
          <w:b/>
          <w:bCs/>
          <w:sz w:val="24"/>
          <w:szCs w:val="24"/>
          <w:u w:val="none" w:color="000000"/>
        </w:rPr>
      </w:pPr>
      <w:r>
        <w:rPr>
          <w:rStyle w:val="Nessuno"/>
          <w:rFonts w:eastAsia="Calibri" w:cs="Calibri" w:ascii="Times New Roman" w:hAnsi="Times New Roman"/>
          <w:b/>
          <w:bCs/>
          <w:sz w:val="24"/>
          <w:szCs w:val="24"/>
          <w:u w:val="none" w:color="000000"/>
        </w:rPr>
        <w:t>N.B. I contenuti della tabella hanno solo funzione esemplificativa e vanno sostituiti con quelli specifici della calsse.</w:t>
      </w:r>
    </w:p>
    <w:tbl>
      <w:tblPr>
        <w:tblStyle w:val="TableNormal"/>
        <w:tblW w:w="10682" w:type="dxa"/>
        <w:jc w:val="left"/>
        <w:tblInd w:w="18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2288"/>
        <w:gridCol w:w="2199"/>
        <w:gridCol w:w="2070"/>
        <w:gridCol w:w="2481"/>
        <w:gridCol w:w="1644"/>
      </w:tblGrid>
      <w:tr>
        <w:trPr>
          <w:trHeight w:val="2202" w:hRule="atLeast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/>
            </w:pPr>
            <w:r>
              <w:rPr>
                <w:rStyle w:val="Nessuno"/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u w:val="none" w:color="000000"/>
                <w:lang w:val="it-IT" w:eastAsia="it-IT" w:bidi="ar-SA"/>
              </w:rPr>
              <w:t>TITOLO E DESCRIZIONE  DEL PERCORSO TRIENNALE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/>
            </w:pPr>
            <w:r>
              <w:rPr>
                <w:rStyle w:val="Nessuno"/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u w:val="none" w:color="000000"/>
                <w:lang w:val="it-IT" w:eastAsia="it-IT" w:bidi="ar-SA"/>
              </w:rPr>
              <w:t>ENTE PARTNER E SOGGETTI COINVOLTI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/>
            </w:pPr>
            <w:r>
              <w:rPr>
                <w:rStyle w:val="Nessuno"/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u w:val="none" w:color="000000"/>
                <w:lang w:val="it-IT" w:eastAsia="it-IT" w:bidi="ar-SA"/>
              </w:rPr>
              <w:t>DESCRIZIONE DELLE ATTIVITA' SVOLTE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/>
            </w:pPr>
            <w:r>
              <w:rPr>
                <w:rStyle w:val="Nessuno"/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u w:val="none" w:color="000000"/>
                <w:lang w:val="it-IT" w:eastAsia="it-IT" w:bidi="ar-SA"/>
              </w:rPr>
              <w:t>COMPETENZE EQF  E DI CITTADINANZA ACQUISITE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/>
            </w:pPr>
            <w:r>
              <w:rPr>
                <w:rStyle w:val="Nessuno"/>
                <w:rFonts w:eastAsia="Arial Unicode MS" w:ascii="Times New Roman" w:hAnsi="Times New Roman"/>
                <w:b/>
                <w:bCs/>
                <w:kern w:val="0"/>
                <w:sz w:val="20"/>
                <w:szCs w:val="20"/>
                <w:u w:val="none" w:color="000000"/>
                <w:lang w:val="it-IT" w:eastAsia="it-IT" w:bidi="ar-SA"/>
              </w:rPr>
              <w:t>PERCEZIONE DELLA QUALITA' E DELLA VALIDITA' DEL PROGETTO DA PARTE DELLO STUDENTE</w:t>
            </w:r>
          </w:p>
        </w:tc>
      </w:tr>
      <w:tr>
        <w:trPr>
          <w:trHeight w:val="9841" w:hRule="atLeast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CF3" w:val="clear"/>
          </w:tcPr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u w:val="none" w:color="000000"/>
                <w:lang w:val="it-IT" w:eastAsia="it-IT" w:bidi="ar-SA"/>
              </w:rPr>
              <w:t>A.S. 2016/17:</w:t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u w:val="none" w:color="000000"/>
              </w:rPr>
            </w:pPr>
            <w:r>
              <w:rPr>
                <w:rFonts w:ascii="Times New Roman" w:hAnsi="Times New Roman"/>
                <w:kern w:val="0"/>
                <w:u w:val="none" w:color="000000"/>
                <w:lang w:val="ar-SA" w:eastAsia="it-IT" w:bidi="ar-SA"/>
              </w:rPr>
              <w:t>“</w:t>
            </w:r>
            <w:r>
              <w:rPr>
                <w:rFonts w:ascii="Times New Roman" w:hAnsi="Times New Roman"/>
                <w:kern w:val="0"/>
                <w:u w:val="none" w:color="000000"/>
                <w:lang w:val="it-IT" w:eastAsia="it-IT" w:bidi="ar-SA"/>
              </w:rPr>
              <w:t>I tesori della Loggia: Alternanza Scuola Lavoro con la Parrocchia S. Mamiliano Vescovo e Martire”</w:t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u w:val="none" w:color="000000"/>
              </w:rPr>
            </w:pPr>
            <w:r>
              <w:rPr>
                <w:rFonts w:ascii="Times New Roman" w:hAnsi="Times New Roman"/>
                <w:kern w:val="0"/>
                <w:u w:val="none" w:color="000000"/>
                <w:lang w:val="it-IT" w:eastAsia="it-IT" w:bidi="ar-SA"/>
              </w:rPr>
              <w:t>80 ore</w:t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u w:val="none" w:color="000000"/>
                <w:lang w:val="it-IT" w:eastAsia="it-IT" w:bidi="ar-SA"/>
              </w:rPr>
              <w:t>A.S. 2017/18:</w:t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u w:val="none" w:color="000000"/>
              </w:rPr>
            </w:pPr>
            <w:r>
              <w:rPr>
                <w:rFonts w:ascii="Times New Roman" w:hAnsi="Times New Roman"/>
                <w:kern w:val="0"/>
                <w:u w:val="none" w:color="000000"/>
                <w:lang w:val="ar-SA" w:eastAsia="it-IT" w:bidi="ar-SA"/>
              </w:rPr>
              <w:t>“</w:t>
            </w:r>
            <w:r>
              <w:rPr>
                <w:rFonts w:ascii="Times New Roman" w:hAnsi="Times New Roman"/>
                <w:kern w:val="0"/>
                <w:u w:val="none" w:color="000000"/>
                <w:lang w:val="it-IT" w:eastAsia="it-IT" w:bidi="ar-SA"/>
              </w:rPr>
              <w:t>Palermo in tour: potenziamento della comunicazione in lingua straniera”</w:t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u w:val="none" w:color="000000"/>
              </w:rPr>
            </w:pPr>
            <w:r>
              <w:rPr>
                <w:rFonts w:ascii="Times New Roman" w:hAnsi="Times New Roman"/>
                <w:kern w:val="0"/>
                <w:u w:val="none" w:color="000000"/>
                <w:lang w:val="it-IT" w:eastAsia="it-IT" w:bidi="ar-SA"/>
              </w:rPr>
              <w:t>80 ore</w:t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u w:val="none" w:color="000000"/>
                <w:lang w:val="it-IT" w:eastAsia="it-IT" w:bidi="ar-SA"/>
              </w:rPr>
              <w:t>A.S. 2018/19:</w:t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u w:val="none" w:color="000000"/>
              </w:rPr>
            </w:pPr>
            <w:r>
              <w:rPr>
                <w:rFonts w:ascii="Times New Roman" w:hAnsi="Times New Roman"/>
                <w:kern w:val="0"/>
                <w:u w:val="none" w:color="000000"/>
                <w:lang w:val="it-IT" w:eastAsia="it-IT" w:bidi="ar-SA"/>
              </w:rPr>
              <w:t>Percorso di Orientamento in uscita, Cittadinanza e Costituzione</w:t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 w:ascii="Times New Roman" w:hAnsi="Times New Roman"/>
                <w:kern w:val="0"/>
                <w:u w:val="none" w:color="000000"/>
                <w:lang w:val="it-IT" w:eastAsia="it-IT" w:bidi="ar-SA"/>
              </w:rPr>
              <w:t>20 ore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CF3" w:val="clear"/>
          </w:tcPr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u w:val="none" w:color="000000"/>
              </w:rPr>
            </w:pPr>
            <w:r>
              <w:rPr>
                <w:rFonts w:ascii="Times New Roman" w:hAnsi="Times New Roman"/>
                <w:kern w:val="0"/>
                <w:u w:val="none" w:color="000000"/>
                <w:lang w:val="it-IT" w:eastAsia="it-IT" w:bidi="ar-SA"/>
              </w:rPr>
              <w:t>Parrocchia di S. Mamiliano Vescovo e Martire, Palermo</w:t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u w:val="none" w:color="000000"/>
              </w:rPr>
            </w:pPr>
            <w:r>
              <w:rPr>
                <w:rFonts w:eastAsia="Times New Roman" w:cs="Times New Roman" w:ascii="Times New Roman" w:hAnsi="Times New Roman"/>
                <w:kern w:val="0"/>
                <w:u w:val="none" w:color="000000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132" w:leader="none"/>
              </w:tabs>
              <w:spacing w:lineRule="atLeast" w:line="80"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Style w:val="Nessuno"/>
                <w:rFonts w:cs="Arial Unicode MS"/>
                <w:i/>
                <w:iCs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>Central Parking</w:t>
            </w:r>
            <w:r>
              <w:rPr>
                <w:rStyle w:val="Nessuno"/>
                <w:rFonts w:cs="Arial Unicode MS"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 xml:space="preserve"> di Sergio Schimmenti &amp; Co. S.a.s., Palermo</w:t>
            </w:r>
          </w:p>
          <w:p>
            <w:pPr>
              <w:pStyle w:val="Normal"/>
              <w:widowControl/>
              <w:tabs>
                <w:tab w:val="clear" w:pos="720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132" w:leader="none"/>
              </w:tabs>
              <w:spacing w:lineRule="atLeast" w:line="80"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132" w:leader="none"/>
              </w:tabs>
              <w:spacing w:lineRule="atLeast" w:line="80"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Style w:val="Nessuno"/>
                <w:rFonts w:cs="Arial Unicode MS"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>Università degli Studi di Palermo</w:t>
            </w:r>
          </w:p>
          <w:p>
            <w:pPr>
              <w:pStyle w:val="Normal"/>
              <w:widowControl/>
              <w:tabs>
                <w:tab w:val="clear" w:pos="720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132" w:leader="none"/>
              </w:tabs>
              <w:spacing w:lineRule="atLeast" w:line="80" w:before="0" w:after="0"/>
              <w:jc w:val="left"/>
              <w:rPr>
                <w:rFonts w:ascii="Times New Roman" w:hAnsi="Times New Roman" w:eastAsia="Arial Unicode MS" w:cs="Times New Roman"/>
                <w:kern w:val="0"/>
                <w:sz w:val="20"/>
                <w:lang w:bidi="ar-SA"/>
              </w:rPr>
            </w:pPr>
            <w:r>
              <w:rPr>
                <w:rFonts w:eastAsia="Arial Unicode MS" w:cs="Times New Roman"/>
                <w:kern w:val="0"/>
                <w:sz w:val="20"/>
                <w:lang w:bidi="ar-SA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CF3" w:val="clear"/>
          </w:tcPr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u w:val="none" w:color="000000"/>
              </w:rPr>
            </w:pPr>
            <w:r>
              <w:rPr>
                <w:rFonts w:ascii="Times New Roman" w:hAnsi="Times New Roman"/>
                <w:kern w:val="0"/>
                <w:u w:val="none" w:color="000000"/>
                <w:lang w:val="it-IT" w:eastAsia="it-IT" w:bidi="ar-SA"/>
              </w:rPr>
              <w:t>Accogliere i visitatori, condurre visite guidate, sensibilizzare ed educare al rispetto dei beni e dei luoghi visitati, interagire in lingua straniera.</w:t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u w:val="none" w:color="000000"/>
              </w:rPr>
            </w:pPr>
            <w:r>
              <w:rPr>
                <w:rFonts w:eastAsia="Times New Roman" w:cs="Times New Roman" w:ascii="Times New Roman" w:hAnsi="Times New Roman"/>
                <w:kern w:val="0"/>
                <w:u w:val="none" w:color="000000"/>
                <w:lang w:val="it-IT" w:eastAsia="it-IT" w:bidi="ar-SA"/>
              </w:rPr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Style w:val="Nessuno"/>
                <w:rFonts w:ascii="Times New Roman" w:hAnsi="Times New Roman" w:eastAsia="Times New Roman" w:cs="Times New Roman"/>
                <w:u w:val="none" w:color="000000"/>
              </w:rPr>
            </w:pPr>
            <w:r>
              <w:rPr>
                <w:rStyle w:val="Nessuno"/>
                <w:rFonts w:ascii="Times New Roman" w:hAnsi="Times New Roman"/>
                <w:kern w:val="0"/>
                <w:u w:val="none" w:color="000000"/>
                <w:lang w:val="it-IT" w:eastAsia="it-IT" w:bidi="ar-SA"/>
              </w:rPr>
              <w:t>Attraverso il dialogo con i turisti di varia nazionalità far sperimentare agli studenti una situazione di lavoro reale che potenzi le discipline di indirizzo.</w:t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Style w:val="Nessuno"/>
                <w:rFonts w:ascii="Times New Roman" w:hAnsi="Times New Roman" w:eastAsia="Times New Roman" w:cs="Times New Roman"/>
                <w:u w:val="none" w:color="000000"/>
              </w:rPr>
            </w:pPr>
            <w:r>
              <w:rPr>
                <w:rFonts w:eastAsia="Times New Roman" w:cs="Times New Roman" w:ascii="Times New Roman" w:hAnsi="Times New Roman"/>
                <w:u w:val="none" w:color="000000"/>
              </w:rPr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Style w:val="Nessuno"/>
                <w:rFonts w:ascii="Times New Roman" w:hAnsi="Times New Roman" w:eastAsia="Times New Roman" w:cs="Times New Roman"/>
                <w:u w:val="none" w:color="000000"/>
              </w:rPr>
            </w:pPr>
            <w:r>
              <w:rPr>
                <w:rStyle w:val="Nessuno"/>
                <w:rFonts w:ascii="Times New Roman" w:hAnsi="Times New Roman"/>
                <w:kern w:val="0"/>
                <w:u w:val="none" w:color="000000"/>
                <w:lang w:val="it-IT" w:eastAsia="it-IT" w:bidi="ar-SA"/>
              </w:rPr>
              <w:t>Orientamento presso il COT e simulazione test di ingresso universitari.</w:t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Style w:val="Nessuno"/>
                <w:rFonts w:ascii="Times New Roman" w:hAnsi="Times New Roman" w:eastAsia="Times New Roman" w:cs="Times New Roman"/>
                <w:u w:val="none" w:color="000000"/>
              </w:rPr>
            </w:pPr>
            <w:r>
              <w:rPr>
                <w:rFonts w:eastAsia="Times New Roman" w:cs="Times New Roman" w:ascii="Times New Roman" w:hAnsi="Times New Roman"/>
                <w:u w:val="none" w:color="000000"/>
              </w:rPr>
            </w:r>
          </w:p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/>
            </w:pPr>
            <w:r>
              <w:rPr>
                <w:rStyle w:val="Nessuno"/>
                <w:rFonts w:eastAsia="Arial Unicode MS" w:ascii="Times New Roman" w:hAnsi="Times New Roman"/>
                <w:kern w:val="0"/>
                <w:u w:val="none" w:color="000000"/>
                <w:lang w:val="it-IT" w:eastAsia="it-IT" w:bidi="ar-SA"/>
              </w:rPr>
              <w:t>Lezioni in aula con Docente del Dipartimento di Diritto sulla Costituzione italiana: origini, caratteri, valori e principi fondamentali.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CF3" w:val="clear"/>
          </w:tcPr>
          <w:p>
            <w:pPr>
              <w:pStyle w:val="Normal"/>
              <w:widowControl/>
              <w:spacing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Style w:val="Nessuno"/>
                <w:rFonts w:cs="Arial Unicode MS"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>Assumersi la responsabilità di portare a termine compiti nell'ambito del lavoro o dello studio.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Style w:val="Nessuno"/>
                <w:rFonts w:cs="Arial Unicode MS"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>Sapersi gestire autonomamente, in un contesto di lavoro o di studio, di solito prevedibili, ma soggetti a cambiamenti.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Style w:val="Nessuno"/>
                <w:rFonts w:cs="Arial Unicode MS"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>Capacità di far emergere le abilità e le competenze possedute.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Style w:val="Nessuno"/>
                <w:rFonts w:cs="Arial Unicode MS"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>Consapevolezza delle proprie aree di interessi.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Style w:val="Nessuno"/>
                <w:rFonts w:cs="Arial Unicode MS"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>Capacità di individuare la propria scelta formativa e professionale.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Style w:val="Nessuno"/>
                <w:rFonts w:cs="Arial Unicode MS"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>Acquisire consapevolezza di cittadinanza attiva.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Style w:val="Nessuno"/>
                <w:rFonts w:cs="Arial Unicode MS"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>Acquisire la conoscenza dei principi costituzionali.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Style w:val="Nessuno"/>
                <w:rFonts w:cs="Arial Unicode MS"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>Sviluppare sensibilità alla cittadinanza globale.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Style w:val="Nessuno"/>
                <w:rFonts w:cs="Arial Unicode MS"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>Promuovere la democrazia partecipativa.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Style w:val="Nessuno"/>
                <w:rFonts w:eastAsia="Times New Roman"/>
                <w:color w:val="000000"/>
                <w:sz w:val="22"/>
                <w:szCs w:val="22"/>
                <w:u w:val="none" w:color="000000"/>
                <w:shd w:fill="auto" w:val="clear"/>
              </w:rPr>
            </w:pPr>
            <w:r>
              <w:rPr>
                <w:rStyle w:val="Nessuno"/>
                <w:rFonts w:cs="Arial Unicode MS"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>Sviluppare una cultura della legalità.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it-IT"/>
              </w:rPr>
            </w:pPr>
            <w:r>
              <w:rPr>
                <w:rStyle w:val="Nessuno"/>
                <w:rFonts w:eastAsia="Arial Unicode MS" w:cs="Arial Unicode MS"/>
                <w:color w:val="000000"/>
                <w:kern w:val="0"/>
                <w:sz w:val="22"/>
                <w:szCs w:val="22"/>
                <w:u w:val="none" w:color="000000"/>
                <w:shd w:fill="auto" w:val="clear"/>
                <w:lang w:bidi="ar-SA"/>
              </w:rPr>
              <w:t>Acquisire gli strumenti per essere cittadini consapevoli.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8ECF3" w:val="clear"/>
          </w:tcPr>
          <w:p>
            <w:pPr>
              <w:pStyle w:val="Default"/>
              <w:widowControl/>
              <w:tabs>
                <w:tab w:val="clear" w:pos="720"/>
                <w:tab w:val="left" w:pos="4005" w:leader="none"/>
              </w:tabs>
              <w:spacing w:before="0" w:after="0"/>
              <w:jc w:val="left"/>
              <w:rPr>
                <w:rFonts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 w:ascii="Times New Roman" w:hAnsi="Times New Roman"/>
                <w:kern w:val="0"/>
                <w:u w:val="none" w:color="000000"/>
                <w:lang w:val="it-IT" w:eastAsia="it-IT" w:bidi="ar-SA"/>
              </w:rPr>
              <w:t>Gli studenti hanno percepito i percorsi proposti come adeguati alle loro aspettative ed al loro indirizzo di studi, ed hanno valutato positivamente  le esperienze svolte e le conoscenze acquisite nel triennio.</w:t>
            </w:r>
          </w:p>
        </w:tc>
      </w:tr>
    </w:tbl>
    <w:p>
      <w:pPr>
        <w:pStyle w:val="Default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777f"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ae777f"/>
    <w:rPr>
      <w:u w:val="single"/>
    </w:rPr>
  </w:style>
  <w:style w:type="character" w:styleId="Nessuno" w:customStyle="1">
    <w:name w:val="Nessuno"/>
    <w:qFormat/>
    <w:rsid w:val="00ae777f"/>
    <w:rPr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e777f"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shd w:fill="auto" w:val="clear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e777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LibreOffice/7.0.3.1$Windows_X86_64 LibreOffice_project/d7547858d014d4cf69878db179d326fc3483e082</Application>
  <Pages>1</Pages>
  <Words>318</Words>
  <Characters>1969</Characters>
  <CharactersWithSpaces>2255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2020-05-21T09:37:00Z</dcterms:created>
  <dc:creator>Antonella-Elena</dc:creator>
  <dc:description/>
  <dc:language>it-IT</dc:language>
  <cp:lastModifiedBy>Antonella-Elena</cp:lastModifiedBy>
  <dcterms:modified xsi:type="dcterms:W3CDTF">2020-05-21T09:37:00Z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